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Low muscle mass (low ASMI, AWGS cut) (odds ratio per 1-SD 1.26 (95% CI 1.07 to 1.49), false discovery rate q 0.012)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1.26 (95% CI 1.07 to 1.49)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7.4</w:t>
            </w:r>
          </w:p>
        </w:tc>
        <w:tc>
          <w:tcPr>
            <w:tcW w:type="dxa" w:w="2160"/>
          </w:tcPr>
          <w:p>
            <w:r>
              <w:t>7.4</w:t>
            </w:r>
          </w:p>
        </w:tc>
        <w:tc>
          <w:tcPr>
            <w:tcW w:type="dxa" w:w="2160"/>
          </w:tcPr>
          <w:p>
            <w:r>
              <w:t>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