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Lumbar spine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eGFR (CKD-EPI 2021), mL/min/1.73m2 was inversely associated with Lumbar spine BMD, g/cm2 (beta coefficient per 1-SD -0.02 (95% CI -0.03 to -0.01), false discovery rate q &lt;0.001) among 8787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-0.02 (95% CI -0.03 to -0.01)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eGFR (CKD-EPI 2021), mL/min/1.73m2 (exposure)</w:t>
            </w:r>
          </w:p>
        </w:tc>
        <w:tc>
          <w:tcPr>
            <w:tcW w:type="dxa" w:w="4320"/>
          </w:tcPr>
          <w:p>
            <w:r>
              <w:t>95.8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78.4%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