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inversely associated with Lumbar spine BMD, g/cm2 (beta coefficient -0.01 (95% CI -0.03 to 0.01), false discovery rate q 0.525)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-0.03 to 0.01)</w:t>
            </w:r>
          </w:p>
        </w:tc>
        <w:tc>
          <w:tcPr>
            <w:tcW w:type="dxa" w:w="1234"/>
          </w:tcPr>
          <w:p>
            <w:r>
              <w:t>0.467</w:t>
            </w:r>
          </w:p>
        </w:tc>
        <w:tc>
          <w:tcPr>
            <w:tcW w:type="dxa" w:w="1234"/>
          </w:tcPr>
          <w:p>
            <w:r>
              <w:t>0.525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AST (&gt;40 IU/L) (exposure)</w:t>
            </w:r>
          </w:p>
        </w:tc>
        <w:tc>
          <w:tcPr>
            <w:tcW w:type="dxa" w:w="4320"/>
          </w:tcPr>
          <w:p>
            <w:r>
              <w:t>5.2%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