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inversely associated with Lumbar spine BMD, g/cm2 (beta coefficient -0.00 (95% CI -0.02 to 0.01), false discovery rate q 0.818)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0.01)</w:t>
            </w:r>
          </w:p>
        </w:tc>
        <w:tc>
          <w:tcPr>
            <w:tcW w:type="dxa" w:w="1234"/>
          </w:tcPr>
          <w:p>
            <w:r>
              <w:t>0.789</w:t>
            </w:r>
          </w:p>
        </w:tc>
        <w:tc>
          <w:tcPr>
            <w:tcW w:type="dxa" w:w="1234"/>
          </w:tcPr>
          <w:p>
            <w:r>
              <w:t>0.818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26.2%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