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positively associated with Lumbar spine BMD, g/cm2 (beta coefficient per 1-SD 0.00 (95% CI -0.00 to 0.01), false discovery rate q 0.107)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0.081</w:t>
            </w:r>
          </w:p>
        </w:tc>
        <w:tc>
          <w:tcPr>
            <w:tcW w:type="dxa" w:w="1234"/>
          </w:tcPr>
          <w:p>
            <w:r>
              <w:t>0.107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27.1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