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MASLD (odds ratio per 1-SD 1.57 (95% CI 1.42 to 1.72), false discovery rate q &lt;0.001) among 2812 adults aged 20 years or older (a weighted MASLD prevalence of 51.1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1.57 (95% CI 1.42 to 1.72)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