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MASLD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inversely associated with MASLD (odds ratio per 1-SD 0.19 (95% CI 0.14 to 0.26), false discovery rate q &lt;0.001) among 2812 adults aged 20 years or older (a weighted MASLD prevalence of 51.1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0.19 (95% CI 0.14 to 0.26)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2812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29.6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51.3%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40.9%</w:t>
            </w:r>
          </w:p>
        </w:tc>
        <w:tc>
          <w:tcPr>
            <w:tcW w:type="dxa" w:w="2160"/>
          </w:tcPr>
          <w:p>
            <w:r>
              <w:t>40.3%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