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MASLD (odds ratio 0.66 (95% CI 0.51 to 0.86), false discovery rate q 0.015) among 2812 adults aged 20 years or older (a weighted MASLD prevalence of 51.1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0.51 to 0.86)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17.4%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