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MASLD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MASLD (odds ratio per 1-SD 1.21 (95% CI 1.02 to 1.44), false discovery rate q 0.078) among 2812 adults aged 20 years or older (a weighted MASLD prevalence of 51.1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1.21 (95% CI 1.02 to 1.44)</w:t>
            </w:r>
          </w:p>
        </w:tc>
        <w:tc>
          <w:tcPr>
            <w:tcW w:type="dxa" w:w="1234"/>
          </w:tcPr>
          <w:p>
            <w:r>
              <w:t>0.057</w:t>
            </w:r>
          </w:p>
        </w:tc>
        <w:tc>
          <w:tcPr>
            <w:tcW w:type="dxa" w:w="1234"/>
          </w:tcPr>
          <w:p>
            <w:r>
              <w:t>0.078</w:t>
            </w:r>
          </w:p>
        </w:tc>
        <w:tc>
          <w:tcPr>
            <w:tcW w:type="dxa" w:w="1234"/>
          </w:tcPr>
          <w:p>
            <w:r>
              <w:t>2812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96.5</w:t>
            </w:r>
          </w:p>
        </w:tc>
        <w:tc>
          <w:tcPr>
            <w:tcW w:type="dxa" w:w="2160"/>
          </w:tcPr>
          <w:p>
            <w:r>
              <w:t>98.5</w:t>
            </w:r>
          </w:p>
        </w:tc>
        <w:tc>
          <w:tcPr>
            <w:tcW w:type="dxa" w:w="2160"/>
          </w:tcPr>
          <w:p>
            <w:r>
              <w:t>94.5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51.3%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