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MASLD (odds ratio 0.87 (95% CI 0.62 to 1.22), false discovery rate q 0.482) among 2812 adults aged 20 years or older (a weighted MASLD prevalence of 51.1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0.62 to 1.22)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  <w:tc>
          <w:tcPr>
            <w:tcW w:type="dxa" w:w="1234"/>
          </w:tcPr>
          <w:p>
            <w:r>
              <w:t>0.482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