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MASLD (odds ratio 0.95 (95% CI 0.76 to 1.18), false discovery rate q 0.692) among 2812 adults aged 20 years or older (a weighted MASLD prevalence of 51.1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0.76 to 1.18)</w:t>
            </w:r>
          </w:p>
        </w:tc>
        <w:tc>
          <w:tcPr>
            <w:tcW w:type="dxa" w:w="1234"/>
          </w:tcPr>
          <w:p>
            <w:r>
              <w:t>0.647</w:t>
            </w:r>
          </w:p>
        </w:tc>
        <w:tc>
          <w:tcPr>
            <w:tcW w:type="dxa" w:w="1234"/>
          </w:tcPr>
          <w:p>
            <w:r>
              <w:t>0.692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