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Fasting insulin, uIU/mL and MASLD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Fasting insulin, uIU/mL was positively associated with MASLD (odds ratio per 1-SD of log 3.62 (95% CI 2.71 to 4.84), false discovery rate q &lt;0.001) among 2812 adults aged 20 years or older (a weighted MASLD prevalence of 51.1 percent, survey-weighted). Confounders: Age, years, Male sex, Ever alcohol (past/current), Ever smoking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alcohol and smoking. Cardiometabolic components are part of the MASLD construct and are not used for adjustment. Adjustment for this exposure: Age, years, Male sex, Ever alcohol (past/current), Ever smoking (past/current). Continuous exposures modeled per 1-SD. This exposure was natural-log transformed before standardization owing to a right-skewed distribution.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Fasting insulin, uIU/mL</w:t>
            </w:r>
          </w:p>
        </w:tc>
        <w:tc>
          <w:tcPr>
            <w:tcW w:type="dxa" w:w="1234"/>
          </w:tcPr>
          <w:p>
            <w:r>
              <w:t>MASLD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3.62 (95% CI 2.71 to 4.84)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2812</w:t>
            </w:r>
          </w:p>
        </w:tc>
      </w:tr>
    </w:tbl>
    <w:p>
      <w:r>
        <w:rPr>
          <w:i/>
        </w:rPr>
        <w:t>Footnote. Fasting insulin, uIU/mL was natural-log transformed before per-1-SD standardization owing to its highly right-skewed distribution; the odds ratio is per 1-SD increase in the natural log of Fasting insulin, uIU/mL.</w:t>
      </w:r>
    </w:p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MASLD</w:t>
            </w:r>
          </w:p>
        </w:tc>
        <w:tc>
          <w:tcPr>
            <w:tcW w:type="dxa" w:w="2160"/>
          </w:tcPr>
          <w:p>
            <w:r>
              <w:t>MASLD</w:t>
            </w:r>
          </w:p>
        </w:tc>
      </w:tr>
      <w:tr>
        <w:tc>
          <w:tcPr>
            <w:tcW w:type="dxa" w:w="2160"/>
          </w:tcPr>
          <w:p>
            <w:r>
              <w:t>Fasting insulin, uIU/mL (exposure)</w:t>
            </w:r>
          </w:p>
        </w:tc>
        <w:tc>
          <w:tcPr>
            <w:tcW w:type="dxa" w:w="2160"/>
          </w:tcPr>
          <w:p>
            <w:r>
              <w:t>13.1</w:t>
            </w:r>
          </w:p>
        </w:tc>
        <w:tc>
          <w:tcPr>
            <w:tcW w:type="dxa" w:w="2160"/>
          </w:tcPr>
          <w:p>
            <w:r>
              <w:t>8.4</w:t>
            </w:r>
          </w:p>
        </w:tc>
        <w:tc>
          <w:tcPr>
            <w:tcW w:type="dxa" w:w="2160"/>
          </w:tcPr>
          <w:p>
            <w:r>
              <w:t>17.7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47.7</w:t>
            </w:r>
          </w:p>
        </w:tc>
        <w:tc>
          <w:tcPr>
            <w:tcW w:type="dxa" w:w="2160"/>
          </w:tcPr>
          <w:p>
            <w:r>
              <w:t>44.0</w:t>
            </w:r>
          </w:p>
        </w:tc>
        <w:tc>
          <w:tcPr>
            <w:tcW w:type="dxa" w:w="2160"/>
          </w:tcPr>
          <w:p>
            <w:r>
              <w:t>51.1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49.0%</w:t>
            </w:r>
          </w:p>
        </w:tc>
        <w:tc>
          <w:tcPr>
            <w:tcW w:type="dxa" w:w="2160"/>
          </w:tcPr>
          <w:p>
            <w:r>
              <w:t>46.6%</w:t>
            </w:r>
          </w:p>
        </w:tc>
        <w:tc>
          <w:tcPr>
            <w:tcW w:type="dxa" w:w="2160"/>
          </w:tcPr>
          <w:p>
            <w:r>
              <w:t>51.3%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92.4%</w:t>
            </w:r>
          </w:p>
        </w:tc>
        <w:tc>
          <w:tcPr>
            <w:tcW w:type="dxa" w:w="2160"/>
          </w:tcPr>
          <w:p>
            <w:r>
              <w:t>93.0%</w:t>
            </w:r>
          </w:p>
        </w:tc>
        <w:tc>
          <w:tcPr>
            <w:tcW w:type="dxa" w:w="2160"/>
          </w:tcPr>
          <w:p>
            <w:r>
              <w:t>91.9%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40.9%</w:t>
            </w:r>
          </w:p>
        </w:tc>
        <w:tc>
          <w:tcPr>
            <w:tcW w:type="dxa" w:w="2160"/>
          </w:tcPr>
          <w:p>
            <w:r>
              <w:t>40.3%</w:t>
            </w:r>
          </w:p>
        </w:tc>
        <w:tc>
          <w:tcPr>
            <w:tcW w:type="dxa" w:w="2160"/>
          </w:tcPr>
          <w:p>
            <w:r>
              <w:t>41.5%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