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MASLD (odds ratio per 1-SD 1.15 (95% CI 0.99 to 1.34), false discovery rate q 0.119)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0.99 to 1.34)</w:t>
            </w:r>
          </w:p>
        </w:tc>
        <w:tc>
          <w:tcPr>
            <w:tcW w:type="dxa" w:w="1234"/>
          </w:tcPr>
          <w:p>
            <w:r>
              <w:t>0.091</w:t>
            </w:r>
          </w:p>
        </w:tc>
        <w:tc>
          <w:tcPr>
            <w:tcW w:type="dxa" w:w="1234"/>
          </w:tcPr>
          <w:p>
            <w:r>
              <w:t>0.119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27.2</w:t>
            </w:r>
          </w:p>
        </w:tc>
        <w:tc>
          <w:tcPr>
            <w:tcW w:type="dxa" w:w="2160"/>
          </w:tcPr>
          <w:p>
            <w:r>
              <w:t>32.7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