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MASLD (odds ratio per 1-SD 1.07 (95% CI 0.95 to 1.20), false discovery rate q 0.348)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0.95 to 1.20)</w:t>
            </w:r>
          </w:p>
        </w:tc>
        <w:tc>
          <w:tcPr>
            <w:tcW w:type="dxa" w:w="1234"/>
          </w:tcPr>
          <w:p>
            <w:r>
              <w:t>0.294</w:t>
            </w:r>
          </w:p>
        </w:tc>
        <w:tc>
          <w:tcPr>
            <w:tcW w:type="dxa" w:w="1234"/>
          </w:tcPr>
          <w:p>
            <w:r>
              <w:t>0.348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