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MASLD (odds ratio per 1-SD 1.07 (95% CI 0.86 to 1.34), false discovery rate q 0.611)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0.86 to 1.34)</w:t>
            </w:r>
          </w:p>
        </w:tc>
        <w:tc>
          <w:tcPr>
            <w:tcW w:type="dxa" w:w="1234"/>
          </w:tcPr>
          <w:p>
            <w:r>
              <w:t>0.556</w:t>
            </w:r>
          </w:p>
        </w:tc>
        <w:tc>
          <w:tcPr>
            <w:tcW w:type="dxa" w:w="1234"/>
          </w:tcPr>
          <w:p>
            <w:r>
              <w:t>0.611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111.6</w:t>
            </w:r>
          </w:p>
        </w:tc>
        <w:tc>
          <w:tcPr>
            <w:tcW w:type="dxa" w:w="2160"/>
          </w:tcPr>
          <w:p>
            <w:r>
              <w:t>109.8</w:t>
            </w:r>
          </w:p>
        </w:tc>
        <w:tc>
          <w:tcPr>
            <w:tcW w:type="dxa" w:w="2160"/>
          </w:tcPr>
          <w:p>
            <w:r>
              <w:t>113.5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