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MASLD (odds ratio 0.44 (95% CI 0.25 to 0.80), false discovery rate q 0.032)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0.25 to 0.80)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10.9%</w:t>
            </w:r>
          </w:p>
        </w:tc>
        <w:tc>
          <w:tcPr>
            <w:tcW w:type="dxa" w:w="2160"/>
          </w:tcPr>
          <w:p>
            <w:r>
              <w:t>16.6%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