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MASLD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MASLD (odds ratio per 1-SD 0.73 (95% CI 0.62 to 0.84), false discovery rate q 0.003) among 2812 adults aged 20 years or older (a weighted MASLD prevalence of 51.1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0.73 (95% CI 0.62 to 0.84)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2812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29.6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