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MASLD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MASLD (odds ratio per 1-SD 0.93 (95% CI 0.80 to 1.09), false discovery rate q 0.464) among 2812 adults aged 20 years or older (a weighted MASLD prevalence of 51.1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0.93 (95% CI 0.80 to 1.09)</w:t>
            </w:r>
          </w:p>
        </w:tc>
        <w:tc>
          <w:tcPr>
            <w:tcW w:type="dxa" w:w="1234"/>
          </w:tcPr>
          <w:p>
            <w:r>
              <w:t>0.406</w:t>
            </w:r>
          </w:p>
        </w:tc>
        <w:tc>
          <w:tcPr>
            <w:tcW w:type="dxa" w:w="1234"/>
          </w:tcPr>
          <w:p>
            <w:r>
              <w:t>0.464</w:t>
            </w:r>
          </w:p>
        </w:tc>
        <w:tc>
          <w:tcPr>
            <w:tcW w:type="dxa" w:w="1234"/>
          </w:tcPr>
          <w:p>
            <w:r>
              <w:t>2812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