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MASLD (odds ratio per 1-SD 1.05 (95% CI 0.91 to 1.20), false discovery rate q 0.596)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0.91 to 1.20)</w:t>
            </w:r>
          </w:p>
        </w:tc>
        <w:tc>
          <w:tcPr>
            <w:tcW w:type="dxa" w:w="1234"/>
          </w:tcPr>
          <w:p>
            <w:r>
              <w:t>0.540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190.0</w:t>
            </w:r>
          </w:p>
        </w:tc>
        <w:tc>
          <w:tcPr>
            <w:tcW w:type="dxa" w:w="2160"/>
          </w:tcPr>
          <w:p>
            <w:r>
              <w:t>188.2</w:t>
            </w:r>
          </w:p>
        </w:tc>
        <w:tc>
          <w:tcPr>
            <w:tcW w:type="dxa" w:w="2160"/>
          </w:tcPr>
          <w:p>
            <w:r>
              <w:t>191.8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