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MASLD (odds ratio per 1-SD 3.91 (95% CI 2.97 to 5.16), false discovery rate q &lt;0.001)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3.91 (95% CI 2.97 to 5.16)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54.5</w:t>
            </w:r>
          </w:p>
        </w:tc>
        <w:tc>
          <w:tcPr>
            <w:tcW w:type="dxa" w:w="2160"/>
          </w:tcPr>
          <w:p>
            <w:r>
              <w:t>51.2</w:t>
            </w:r>
          </w:p>
        </w:tc>
        <w:tc>
          <w:tcPr>
            <w:tcW w:type="dxa" w:w="2160"/>
          </w:tcPr>
          <w:p>
            <w:r>
              <w:t>58.3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