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ASM / height^2, kg/m2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ASM / height^2, kg/m2 was positively associated with Metabolic syndrome (odds ratio per 1-SD 3.44 (95% CI 2.91 to 4.06), false discovery rate q &lt;0.001) among 10955 adults aged 20 years or older (a weighted Metabolic syndrome prevalence of 37.5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3.44 (95% CI 2.91 to 4.06)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ASM / height^2, kg/m2 (exposure)</w:t>
            </w:r>
          </w:p>
        </w:tc>
        <w:tc>
          <w:tcPr>
            <w:tcW w:type="dxa" w:w="2160"/>
          </w:tcPr>
          <w:p>
            <w:r>
              <w:t>8.3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9.1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