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Metabolic syndrome (odds ratio per 1-SD 1.92 (95% CI 1.82 to 2.03), false discovery rate q &lt;0.001) among 10955 adults aged 20 years or older (a weighted Metabolic syndrome prevalence of 37.5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1.82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