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Metabolic syndrome (odds ratio 1.21 (95% CI 0.98 to 1.49), false discovery rate q 0.098)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0.98 to 1.49)</w:t>
            </w:r>
          </w:p>
        </w:tc>
        <w:tc>
          <w:tcPr>
            <w:tcW w:type="dxa" w:w="1234"/>
          </w:tcPr>
          <w:p>
            <w:r>
              <w:t>0.073</w:t>
            </w:r>
          </w:p>
        </w:tc>
        <w:tc>
          <w:tcPr>
            <w:tcW w:type="dxa" w:w="1234"/>
          </w:tcPr>
          <w:p>
            <w:r>
              <w:t>0.098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6.4%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