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Metabolic syndrome (odds ratio 1.77 (95% CI 1.53 to 2.05),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1.53 to 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