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Metabolic syndrome (odds ratio per 1-SD 3.04 (95% CI 2.38 to 3.87),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3.04 (95% CI 2.38 to 3.87)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260.6</w:t>
            </w:r>
          </w:p>
        </w:tc>
        <w:tc>
          <w:tcPr>
            <w:tcW w:type="dxa" w:w="2160"/>
          </w:tcPr>
          <w:p>
            <w:r>
              <w:t>238.5</w:t>
            </w:r>
          </w:p>
        </w:tc>
        <w:tc>
          <w:tcPr>
            <w:tcW w:type="dxa" w:w="2160"/>
          </w:tcPr>
          <w:p>
            <w:r>
              <w:t>294.6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