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Metabolic syndrome (odds ratio 1.18 (95% CI 1.02 to 1.37), false discovery rate q 0.039) among 10955 adults aged 20 years or older (a weighted Metabolic syndrome prevalence of 37.5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1.02 to 1.37)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