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Metabolic syndrome (odds ratio per 1-SD 1.01 (95% CI 0.93 to 1.08), false discovery rate q 0.900)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0.93 to 1.08)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96.9</w:t>
            </w:r>
          </w:p>
        </w:tc>
        <w:tc>
          <w:tcPr>
            <w:tcW w:type="dxa" w:w="2160"/>
          </w:tcPr>
          <w:p>
            <w:r>
              <w:t>100.1</w:t>
            </w:r>
          </w:p>
        </w:tc>
        <w:tc>
          <w:tcPr>
            <w:tcW w:type="dxa" w:w="2160"/>
          </w:tcPr>
          <w:p>
            <w:r>
              <w:t>91.8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