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Metabolic syndrome (odds ratio 2.88 (95% CI 2.41 to 3.43),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2.88 (95% CI 2.41 to 3.43)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  <w:tc>
          <w:tcPr>
            <w:tcW w:type="dxa" w:w="2160"/>
          </w:tcPr>
          <w:p>
            <w:r>
              <w:t>14.5%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