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Metabolic syndrome (odds ratio 2.05 (95% CI 1.62 to 2.59),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2.05 (95% CI 1.62 to 2.59)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