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Ever alcohol (past/current) and Metabolic syndrome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Ever alcohol (past/current) was inversely associated with Metabolic syndrome (odds ratio 0.80 (95% CI 0.70 to 0.90), false discovery rate q &lt;0.001) among 10955 adults aged 20 years or older (a weighted Metabolic syndrome prevalence of 37.5 percent, survey-weighted). Confounders: Age, years, Male sex.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The five metabolic-syndrome components are excluded as definitional. Adjustment for this exposure: Age, years, Male sex.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Ever alcohol (past/current)</w:t>
            </w:r>
          </w:p>
        </w:tc>
        <w:tc>
          <w:tcPr>
            <w:tcW w:type="dxa" w:w="1234"/>
          </w:tcPr>
          <w:p>
            <w:r>
              <w:t>Metabolic syndrome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0.80 (95% CI 0.70 to 0.90)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10955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Metabolic syndrome</w:t>
            </w:r>
          </w:p>
        </w:tc>
        <w:tc>
          <w:tcPr>
            <w:tcW w:type="dxa" w:w="2160"/>
          </w:tcPr>
          <w:p>
            <w:r>
              <w:t>Metabolic syndrome</w:t>
            </w:r>
          </w:p>
        </w:tc>
      </w:tr>
      <w:tr>
        <w:tc>
          <w:tcPr>
            <w:tcW w:type="dxa" w:w="2160"/>
          </w:tcPr>
          <w:p>
            <w:r>
              <w:t>Ever alcohol (past/current) (exposure)</w:t>
            </w:r>
          </w:p>
        </w:tc>
        <w:tc>
          <w:tcPr>
            <w:tcW w:type="dxa" w:w="2160"/>
          </w:tcPr>
          <w:p>
            <w:r>
              <w:t>81.9%</w:t>
            </w:r>
          </w:p>
        </w:tc>
        <w:tc>
          <w:tcPr>
            <w:tcW w:type="dxa" w:w="2160"/>
          </w:tcPr>
          <w:p>
            <w:r>
              <w:t>83.6%</w:t>
            </w:r>
          </w:p>
        </w:tc>
        <w:tc>
          <w:tcPr>
            <w:tcW w:type="dxa" w:w="2160"/>
          </w:tcPr>
          <w:p>
            <w:r>
              <w:t>79.1%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44.0</w:t>
            </w:r>
          </w:p>
        </w:tc>
        <w:tc>
          <w:tcPr>
            <w:tcW w:type="dxa" w:w="2160"/>
          </w:tcPr>
          <w:p>
            <w:r>
              <w:t>54.0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49.4%</w:t>
            </w:r>
          </w:p>
        </w:tc>
        <w:tc>
          <w:tcPr>
            <w:tcW w:type="dxa" w:w="2160"/>
          </w:tcPr>
          <w:p>
            <w:r>
              <w:t>49.0%</w:t>
            </w:r>
          </w:p>
        </w:tc>
        <w:tc>
          <w:tcPr>
            <w:tcW w:type="dxa" w:w="2160"/>
          </w:tcPr>
          <w:p>
            <w:r>
              <w:t>50.1%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44.3%</w:t>
            </w:r>
          </w:p>
        </w:tc>
        <w:tc>
          <w:tcPr>
            <w:tcW w:type="dxa" w:w="2160"/>
          </w:tcPr>
          <w:p>
            <w:r>
              <w:t>41.5%</w:t>
            </w:r>
          </w:p>
        </w:tc>
        <w:tc>
          <w:tcPr>
            <w:tcW w:type="dxa" w:w="2160"/>
          </w:tcPr>
          <w:p>
            <w:r>
              <w:t>48.9%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81.9%</w:t>
            </w:r>
          </w:p>
        </w:tc>
        <w:tc>
          <w:tcPr>
            <w:tcW w:type="dxa" w:w="2160"/>
          </w:tcPr>
          <w:p>
            <w:r>
              <w:t>83.6%</w:t>
            </w:r>
          </w:p>
        </w:tc>
        <w:tc>
          <w:tcPr>
            <w:tcW w:type="dxa" w:w="2160"/>
          </w:tcPr>
          <w:p>
            <w:r>
              <w:t>79.1%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