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Metabolic syndrome (odds ratio 1.22 (95% CI 1.11 to 1.34), false discovery rate q &lt;0.001) among 10955 adults aged 20 years or older (a weighted Metabolic syndrome prevalence of 37.5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1.11 to 1.34)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