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Metabolic syndrome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FIB-4 index was inversely associated with Metabolic syndrome (odds ratio per 1-SD 0.76 (95% CI 0.67 to 0.87), false discovery rate q &lt;0.001) among 10955 adults aged 20 years or older (a weighted Metabolic syndrome prevalence of 37.5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0.76 (95% CI 0.67 to 0.87)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10955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FIB-4 index (exposure)</w:t>
            </w:r>
          </w:p>
        </w:tc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54.0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  <w:tc>
          <w:tcPr>
            <w:tcW w:type="dxa" w:w="2160"/>
          </w:tcPr>
          <w:p>
            <w:r>
              <w:t>79.1%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