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Metabolic syndrome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positively associated with Metabolic syndrome (odds ratio per 1-SD 1.65 (95% CI 1.51 to 1.80), false discovery rate q &lt;0.001) among 10955 adults aged 20 years or older (a weighted Metabolic syndrome prevalence of 37.5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1.65 (95% CI 1.51 to 1.80)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10955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