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Metabolic syndrome (odds ratio per 1-SD 1.12 (95% CI 1.03 to 1.21), false discovery rate q 0.016)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1.03 to 1.21)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168.8</w:t>
            </w:r>
          </w:p>
        </w:tc>
        <w:tc>
          <w:tcPr>
            <w:tcW w:type="dxa" w:w="2160"/>
          </w:tcPr>
          <w:p>
            <w:r>
              <w:t>168.9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