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Metabolic syndrome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positively associated with Metabolic syndrome (odds ratio per 1-SD 1.13 (95% CI 1.05 to 1.20), false discovery rate q 0.001) among 10955 adults aged 20 years or older (a weighted Metabolic syndrome prevalence of 37.5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1.13 (95% CI 1.05 to 1.20)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10955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14.3</w:t>
            </w:r>
          </w:p>
        </w:tc>
        <w:tc>
          <w:tcPr>
            <w:tcW w:type="dxa" w:w="2160"/>
          </w:tcPr>
          <w:p>
            <w:r>
              <w:t>14.3</w:t>
            </w:r>
          </w:p>
        </w:tc>
        <w:tc>
          <w:tcPr>
            <w:tcW w:type="dxa" w:w="2160"/>
          </w:tcPr>
          <w:p>
            <w:r>
              <w:t>14.4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  <w:tc>
          <w:tcPr>
            <w:tcW w:type="dxa" w:w="2160"/>
          </w:tcPr>
          <w:p>
            <w:r>
              <w:t>79.1%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