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Metabolic syndrome (odds ratio 7.66 (95% CI 5.65 to 10.37),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7.66 (95% CI 5.65 to 10.37)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68.8%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  <w:tc>
          <w:tcPr>
            <w:tcW w:type="dxa" w:w="2160"/>
          </w:tcPr>
          <w:p>
            <w:r>
              <w:t>92.0%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