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Metabolic syndrome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LDL cholesterol, mg/dL was positively associated with Metabolic syndrome (odds ratio per 1-SD 1.03 (95% CI 0.97 to 1.09), false discovery rate q 0.370) among 10955 adults aged 20 years or older (a weighted Metabolic syndrome prevalence of 37.5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1.03 (95% CI 0.97 to 1.09)</w:t>
            </w:r>
          </w:p>
        </w:tc>
        <w:tc>
          <w:tcPr>
            <w:tcW w:type="dxa" w:w="1234"/>
          </w:tcPr>
          <w:p>
            <w:r>
              <w:t>0.315</w:t>
            </w:r>
          </w:p>
        </w:tc>
        <w:tc>
          <w:tcPr>
            <w:tcW w:type="dxa" w:w="1234"/>
          </w:tcPr>
          <w:p>
            <w:r>
              <w:t>0.370</w:t>
            </w:r>
          </w:p>
        </w:tc>
        <w:tc>
          <w:tcPr>
            <w:tcW w:type="dxa" w:w="1234"/>
          </w:tcPr>
          <w:p>
            <w:r>
              <w:t>10955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LDL cholesterol, mg/dL (exposure)</w:t>
            </w:r>
          </w:p>
        </w:tc>
        <w:tc>
          <w:tcPr>
            <w:tcW w:type="dxa" w:w="2160"/>
          </w:tcPr>
          <w:p>
            <w:r>
              <w:t>114.0</w:t>
            </w:r>
          </w:p>
        </w:tc>
        <w:tc>
          <w:tcPr>
            <w:tcW w:type="dxa" w:w="2160"/>
          </w:tcPr>
          <w:p>
            <w:r>
              <w:t>113.3</w:t>
            </w:r>
          </w:p>
        </w:tc>
        <w:tc>
          <w:tcPr>
            <w:tcW w:type="dxa" w:w="2160"/>
          </w:tcPr>
          <w:p>
            <w:r>
              <w:t>115.1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54.0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  <w:tc>
          <w:tcPr>
            <w:tcW w:type="dxa" w:w="2160"/>
          </w:tcPr>
          <w:p>
            <w:r>
              <w:t>79.1%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