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Metabolic syndrome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Leukocytosis (WBC&gt;11) was positively associated with Metabolic syndrome (odds ratio 3.15 (95% CI 2.28 to 4.34), false discovery rate q &lt;0.001) among 10955 adults aged 20 years or older (a weighted Metabolic syndrome prevalence of 37.5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The five metabolic-syndrome components are excluded as definitional.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3.15 (95% CI 2.28 to 4.34)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10955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Metabolic syndrome</w:t>
            </w:r>
          </w:p>
        </w:tc>
        <w:tc>
          <w:tcPr>
            <w:tcW w:type="dxa" w:w="2160"/>
          </w:tcPr>
          <w:p>
            <w:r>
              <w:t>Metabolic syndrome</w:t>
            </w:r>
          </w:p>
        </w:tc>
      </w:tr>
      <w:tr>
        <w:tc>
          <w:tcPr>
            <w:tcW w:type="dxa" w:w="2160"/>
          </w:tcPr>
          <w:p>
            <w:r>
              <w:t>Leukocytosis (WBC&gt;11) (exposure)</w:t>
            </w:r>
          </w:p>
        </w:tc>
        <w:tc>
          <w:tcPr>
            <w:tcW w:type="dxa" w:w="2160"/>
          </w:tcPr>
          <w:p>
            <w:r>
              <w:t>3.1%</w:t>
            </w:r>
          </w:p>
        </w:tc>
        <w:tc>
          <w:tcPr>
            <w:tcW w:type="dxa" w:w="2160"/>
          </w:tcPr>
          <w:p>
            <w:r>
              <w:t>1.9%</w:t>
            </w:r>
          </w:p>
        </w:tc>
        <w:tc>
          <w:tcPr>
            <w:tcW w:type="dxa" w:w="2160"/>
          </w:tcPr>
          <w:p>
            <w:r>
              <w:t>5.2%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44.0</w:t>
            </w:r>
          </w:p>
        </w:tc>
        <w:tc>
          <w:tcPr>
            <w:tcW w:type="dxa" w:w="2160"/>
          </w:tcPr>
          <w:p>
            <w:r>
              <w:t>54.0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44.3%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81.9%</w:t>
            </w:r>
          </w:p>
        </w:tc>
        <w:tc>
          <w:tcPr>
            <w:tcW w:type="dxa" w:w="2160"/>
          </w:tcPr>
          <w:p>
            <w:r>
              <w:t>83.6%</w:t>
            </w:r>
          </w:p>
        </w:tc>
        <w:tc>
          <w:tcPr>
            <w:tcW w:type="dxa" w:w="2160"/>
          </w:tcPr>
          <w:p>
            <w:r>
              <w:t>79.1%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