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Metabolic syndrome (odds ratio 1.05 (95% CI 0.94 to 1.16), false discovery rate q 0.453) among 10955 adults aged 20 years or older (a weighted Metabolic syndrome prevalence of 37.5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0.94 to 1.16)</w:t>
            </w:r>
          </w:p>
        </w:tc>
        <w:tc>
          <w:tcPr>
            <w:tcW w:type="dxa" w:w="1234"/>
          </w:tcPr>
          <w:p>
            <w:r>
              <w:t>0.396</w:t>
            </w:r>
          </w:p>
        </w:tc>
        <w:tc>
          <w:tcPr>
            <w:tcW w:type="dxa" w:w="1234"/>
          </w:tcPr>
          <w:p>
            <w:r>
              <w:t>0.453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