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Obesity (KSSO &gt;=25 / WHO &gt;=30, country-specific) and Metabolic syndrome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Obesity (KSSO &gt;=25 / WHO &gt;=30, country-specific) was positively associated with Metabolic syndrome (odds ratio 8.05 (95% CI 6.94 to 9.33), false discovery rate q &lt;0.001) among 10955 adults aged 20 years or older (a weighted Metabolic syndrome prevalence of 37.5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The five metabolic-syndrome components are excluded as definitional.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Obesity (KSSO &gt;=25 / WHO &gt;=30, country-specific)</w:t>
            </w:r>
          </w:p>
        </w:tc>
        <w:tc>
          <w:tcPr>
            <w:tcW w:type="dxa" w:w="1234"/>
          </w:tcPr>
          <w:p>
            <w:r>
              <w:t>Metabolic syndrome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8.05 (95% CI 6.94 to 9.33)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10955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Metabolic syndrome</w:t>
            </w:r>
          </w:p>
        </w:tc>
        <w:tc>
          <w:tcPr>
            <w:tcW w:type="dxa" w:w="2160"/>
          </w:tcPr>
          <w:p>
            <w:r>
              <w:t>Metabolic syndrome</w:t>
            </w:r>
          </w:p>
        </w:tc>
      </w:tr>
      <w:tr>
        <w:tc>
          <w:tcPr>
            <w:tcW w:type="dxa" w:w="2160"/>
          </w:tcPr>
          <w:p>
            <w:r>
              <w:t>Obesity (KSSO &gt;=25 / WHO &gt;=30, country-specific) (exposure)</w:t>
            </w:r>
          </w:p>
        </w:tc>
        <w:tc>
          <w:tcPr>
            <w:tcW w:type="dxa" w:w="2160"/>
          </w:tcPr>
          <w:p>
            <w:r>
              <w:t>36.4%</w:t>
            </w:r>
          </w:p>
        </w:tc>
        <w:tc>
          <w:tcPr>
            <w:tcW w:type="dxa" w:w="2160"/>
          </w:tcPr>
          <w:p>
            <w:r>
              <w:t>20.6%</w:t>
            </w:r>
          </w:p>
        </w:tc>
        <w:tc>
          <w:tcPr>
            <w:tcW w:type="dxa" w:w="2160"/>
          </w:tcPr>
          <w:p>
            <w:r>
              <w:t>62.7%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44.0</w:t>
            </w:r>
          </w:p>
        </w:tc>
        <w:tc>
          <w:tcPr>
            <w:tcW w:type="dxa" w:w="2160"/>
          </w:tcPr>
          <w:p>
            <w:r>
              <w:t>54.0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49.4%</w:t>
            </w:r>
          </w:p>
        </w:tc>
        <w:tc>
          <w:tcPr>
            <w:tcW w:type="dxa" w:w="2160"/>
          </w:tcPr>
          <w:p>
            <w:r>
              <w:t>49.0%</w:t>
            </w:r>
          </w:p>
        </w:tc>
        <w:tc>
          <w:tcPr>
            <w:tcW w:type="dxa" w:w="2160"/>
          </w:tcPr>
          <w:p>
            <w:r>
              <w:t>50.1%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44.3%</w:t>
            </w:r>
          </w:p>
        </w:tc>
        <w:tc>
          <w:tcPr>
            <w:tcW w:type="dxa" w:w="2160"/>
          </w:tcPr>
          <w:p>
            <w:r>
              <w:t>41.5%</w:t>
            </w:r>
          </w:p>
        </w:tc>
        <w:tc>
          <w:tcPr>
            <w:tcW w:type="dxa" w:w="2160"/>
          </w:tcPr>
          <w:p>
            <w:r>
              <w:t>48.9%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81.9%</w:t>
            </w:r>
          </w:p>
        </w:tc>
        <w:tc>
          <w:tcPr>
            <w:tcW w:type="dxa" w:w="2160"/>
          </w:tcPr>
          <w:p>
            <w:r>
              <w:t>83.6%</w:t>
            </w:r>
          </w:p>
        </w:tc>
        <w:tc>
          <w:tcPr>
            <w:tcW w:type="dxa" w:w="2160"/>
          </w:tcPr>
          <w:p>
            <w:r>
              <w:t>79.1%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