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Metabolic syndrome (odds ratio 12.80 (95% CI 10.69 to 15.33),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12.80 (95% CI 10.69 to 15.33)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70.1%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  <w:tc>
          <w:tcPr>
            <w:tcW w:type="dxa" w:w="2160"/>
          </w:tcPr>
          <w:p>
            <w:r>
              <w:t>93.7%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