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creatinine, mg/dL and Metabolic syndrome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Serum creatinine, mg/dL was inversely associated with Metabolic syndrome (odds ratio per 1-SD 1.00 (95% CI 0.95 to 1.05), false discovery rate q 0.977) among 10955 adults aged 20 years or older (a weighted Metabolic syndrome prevalence of 37.5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The five metabolic-syndrome components are excluded as definitional.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1.00 (95% CI 0.95 to 1.05)</w:t>
            </w:r>
          </w:p>
        </w:tc>
        <w:tc>
          <w:tcPr>
            <w:tcW w:type="dxa" w:w="1234"/>
          </w:tcPr>
          <w:p>
            <w:r>
              <w:t>0.971</w:t>
            </w:r>
          </w:p>
        </w:tc>
        <w:tc>
          <w:tcPr>
            <w:tcW w:type="dxa" w:w="1234"/>
          </w:tcPr>
          <w:p>
            <w:r>
              <w:t>0.977</w:t>
            </w:r>
          </w:p>
        </w:tc>
        <w:tc>
          <w:tcPr>
            <w:tcW w:type="dxa" w:w="1234"/>
          </w:tcPr>
          <w:p>
            <w:r>
              <w:t>10955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Metabolic syndrome</w:t>
            </w:r>
          </w:p>
        </w:tc>
        <w:tc>
          <w:tcPr>
            <w:tcW w:type="dxa" w:w="2160"/>
          </w:tcPr>
          <w:p>
            <w:r>
              <w:t>Metabolic syndrome</w:t>
            </w:r>
          </w:p>
        </w:tc>
      </w:tr>
      <w:tr>
        <w:tc>
          <w:tcPr>
            <w:tcW w:type="dxa" w:w="2160"/>
          </w:tcPr>
          <w:p>
            <w:r>
              <w:t>Serum creatinine, mg/dL (exposure)</w:t>
            </w:r>
          </w:p>
        </w:tc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0.9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44.0</w:t>
            </w:r>
          </w:p>
        </w:tc>
        <w:tc>
          <w:tcPr>
            <w:tcW w:type="dxa" w:w="2160"/>
          </w:tcPr>
          <w:p>
            <w:r>
              <w:t>54.0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44.3%</w:t>
            </w:r>
          </w:p>
        </w:tc>
        <w:tc>
          <w:tcPr>
            <w:tcW w:type="dxa" w:w="2160"/>
          </w:tcPr>
          <w:p>
            <w:r>
              <w:t>41.5%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81.9%</w:t>
            </w:r>
          </w:p>
        </w:tc>
        <w:tc>
          <w:tcPr>
            <w:tcW w:type="dxa" w:w="2160"/>
          </w:tcPr>
          <w:p>
            <w:r>
              <w:t>83.6%</w:t>
            </w:r>
          </w:p>
        </w:tc>
        <w:tc>
          <w:tcPr>
            <w:tcW w:type="dxa" w:w="2160"/>
          </w:tcPr>
          <w:p>
            <w:r>
              <w:t>79.1%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