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Metabolic syndrome (odds ratio per 1-SD 1.05 (95% CI 0.99 to 1.12), false discovery rate q 0.176)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0.99 to 1.12)</w:t>
            </w:r>
          </w:p>
        </w:tc>
        <w:tc>
          <w:tcPr>
            <w:tcW w:type="dxa" w:w="1234"/>
          </w:tcPr>
          <w:p>
            <w:r>
              <w:t>0.140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192.9</w:t>
            </w:r>
          </w:p>
        </w:tc>
        <w:tc>
          <w:tcPr>
            <w:tcW w:type="dxa" w:w="2160"/>
          </w:tcPr>
          <w:p>
            <w:r>
              <w:t>191.2</w:t>
            </w:r>
          </w:p>
        </w:tc>
        <w:tc>
          <w:tcPr>
            <w:tcW w:type="dxa" w:w="2160"/>
          </w:tcPr>
          <w:p>
            <w:r>
              <w:t>195.5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