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fat mass, kg and Metabolic syndrome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Total fat mass, kg was positively associated with Metabolic syndrome (odds ratio per 1-SD 3.35 (95% CI 2.88 to 3.89), false discovery rate q &lt;0.001) among 10955 adults aged 20 years or older (a weighted Metabolic syndrome prevalence of 37.5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The five metabolic-syndrome components are excluded as definitional.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fat mass, kg</w:t>
            </w:r>
          </w:p>
        </w:tc>
        <w:tc>
          <w:tcPr>
            <w:tcW w:type="dxa" w:w="1234"/>
          </w:tcPr>
          <w:p>
            <w:r>
              <w:t>Metabolic syndrome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3.35 (95% CI 2.88 to 3.89)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10955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Metabolic syndrome</w:t>
            </w:r>
          </w:p>
        </w:tc>
        <w:tc>
          <w:tcPr>
            <w:tcW w:type="dxa" w:w="2160"/>
          </w:tcPr>
          <w:p>
            <w:r>
              <w:t>Metabolic syndrome</w:t>
            </w:r>
          </w:p>
        </w:tc>
      </w:tr>
      <w:tr>
        <w:tc>
          <w:tcPr>
            <w:tcW w:type="dxa" w:w="2160"/>
          </w:tcPr>
          <w:p>
            <w:r>
              <w:t>Total fat mass, kg (exposure)</w:t>
            </w:r>
          </w:p>
        </w:tc>
        <w:tc>
          <w:tcPr>
            <w:tcW w:type="dxa" w:w="2160"/>
          </w:tcPr>
          <w:p>
            <w:r>
              <w:t>27.6</w:t>
            </w:r>
          </w:p>
        </w:tc>
        <w:tc>
          <w:tcPr>
            <w:tcW w:type="dxa" w:w="2160"/>
          </w:tcPr>
          <w:p>
            <w:r>
              <w:t>24.4</w:t>
            </w:r>
          </w:p>
        </w:tc>
        <w:tc>
          <w:tcPr>
            <w:tcW w:type="dxa" w:w="2160"/>
          </w:tcPr>
          <w:p>
            <w:r>
              <w:t>34.9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44.0</w:t>
            </w:r>
          </w:p>
        </w:tc>
        <w:tc>
          <w:tcPr>
            <w:tcW w:type="dxa" w:w="2160"/>
          </w:tcPr>
          <w:p>
            <w:r>
              <w:t>54.0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49.4%</w:t>
            </w:r>
          </w:p>
        </w:tc>
        <w:tc>
          <w:tcPr>
            <w:tcW w:type="dxa" w:w="2160"/>
          </w:tcPr>
          <w:p>
            <w:r>
              <w:t>49.0%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44.3%</w:t>
            </w:r>
          </w:p>
        </w:tc>
        <w:tc>
          <w:tcPr>
            <w:tcW w:type="dxa" w:w="2160"/>
          </w:tcPr>
          <w:p>
            <w:r>
              <w:t>41.5%</w:t>
            </w:r>
          </w:p>
        </w:tc>
        <w:tc>
          <w:tcPr>
            <w:tcW w:type="dxa" w:w="2160"/>
          </w:tcPr>
          <w:p>
            <w:r>
              <w:t>48.9%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81.9%</w:t>
            </w:r>
          </w:p>
        </w:tc>
        <w:tc>
          <w:tcPr>
            <w:tcW w:type="dxa" w:w="2160"/>
          </w:tcPr>
          <w:p>
            <w:r>
              <w:t>83.6%</w:t>
            </w:r>
          </w:p>
        </w:tc>
        <w:tc>
          <w:tcPr>
            <w:tcW w:type="dxa" w:w="2160"/>
          </w:tcPr>
          <w:p>
            <w:r>
              <w:t>79.1%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