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Metabolic syndrome (odds ratio 1.56 (95% CI 1.39 to 1.75), false discovery rate q &lt;0.001)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1.56 (95% CI 1.39 to 1.75)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24.1%</w:t>
            </w:r>
          </w:p>
        </w:tc>
        <w:tc>
          <w:tcPr>
            <w:tcW w:type="dxa" w:w="2160"/>
          </w:tcPr>
          <w:p>
            <w:r>
              <w:t>22.8%</w:t>
            </w:r>
          </w:p>
        </w:tc>
        <w:tc>
          <w:tcPr>
            <w:tcW w:type="dxa" w:w="2160"/>
          </w:tcPr>
          <w:p>
            <w:r>
              <w:t>26.2%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