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Metabolic syndrome (odds ratio per 1-SD 3.70 (95% CI 3.37 to 4.05),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3.70 (95% CI 3.37 to 4.05)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76.0</w:t>
            </w:r>
          </w:p>
        </w:tc>
        <w:tc>
          <w:tcPr>
            <w:tcW w:type="dxa" w:w="2160"/>
          </w:tcPr>
          <w:p>
            <w:r>
              <w:t>94.0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