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Vitamin D deficiency (&lt;20 ng/mL) and Non-HDL cholesterol,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Vitamin D deficiency (&lt;20 ng/mL) was inversely associated with Non-HDL cholesterol, mg/dL (beta coefficient -1.11 (95% CI -2.73 to 0.51), false discovery rate q 0.225) among 25076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Vitamin D deficiency (&lt;20 ng/mL)</w:t>
            </w:r>
          </w:p>
        </w:tc>
        <w:tc>
          <w:tcPr>
            <w:tcW w:type="dxa" w:w="1234"/>
          </w:tcPr>
          <w:p>
            <w:r>
              <w:t>Non-HDL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-1.11 (95% CI -2.73 to 0.51)</w:t>
            </w:r>
          </w:p>
        </w:tc>
        <w:tc>
          <w:tcPr>
            <w:tcW w:type="dxa" w:w="1234"/>
          </w:tcPr>
          <w:p>
            <w:r>
              <w:t>0.182</w:t>
            </w:r>
          </w:p>
        </w:tc>
        <w:tc>
          <w:tcPr>
            <w:tcW w:type="dxa" w:w="1234"/>
          </w:tcPr>
          <w:p>
            <w:r>
              <w:t>0.225</w:t>
            </w:r>
          </w:p>
        </w:tc>
        <w:tc>
          <w:tcPr>
            <w:tcW w:type="dxa" w:w="1234"/>
          </w:tcPr>
          <w:p>
            <w:r>
              <w:t>25076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Vitamin D deficiency (&lt;20 ng/mL) (exposure)</w:t>
            </w:r>
          </w:p>
        </w:tc>
        <w:tc>
          <w:tcPr>
            <w:tcW w:type="dxa" w:w="4320"/>
          </w:tcPr>
          <w:p>
            <w:r>
              <w:t>24.4%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