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Obesity (KSSO &gt;=25 / WHO &gt;=30, country-specific) (odds ratio per 1-SD 3.89 (95% CI 3.10 to 4.89),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3.89 (95% CI 3.10 to 4.89)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262.8</w:t>
            </w:r>
          </w:p>
        </w:tc>
        <w:tc>
          <w:tcPr>
            <w:tcW w:type="dxa" w:w="2160"/>
          </w:tcPr>
          <w:p>
            <w:r>
              <w:t>237.8</w:t>
            </w:r>
          </w:p>
        </w:tc>
        <w:tc>
          <w:tcPr>
            <w:tcW w:type="dxa" w:w="2160"/>
          </w:tcPr>
          <w:p>
            <w:r>
              <w:t>299.6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