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Obesity (KSSO &gt;=25 / WHO &gt;=30, country-specific) (odds ratio per 1-SD 1.33 (95% CI 1.28 to 1.39),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1.33 (95% CI 1.28 to 1.39)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71.5</w:t>
            </w:r>
          </w:p>
        </w:tc>
        <w:tc>
          <w:tcPr>
            <w:tcW w:type="dxa" w:w="2160"/>
          </w:tcPr>
          <w:p>
            <w:r>
              <w:t>70.4</w:t>
            </w:r>
          </w:p>
        </w:tc>
        <w:tc>
          <w:tcPr>
            <w:tcW w:type="dxa" w:w="2160"/>
          </w:tcPr>
          <w:p>
            <w:r>
              <w:t>73.5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