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Obesity (KSSO &gt;=25 / WHO &gt;=30,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inversely associated with Obesity (KSSO &gt;=25 / WHO &gt;=30, country-specific) (odds ratio per 1-SD 0.95 (95% CI 0.89 to 1.00), false discovery rate q 0.090) among 26491 adults aged 20 years or older (a weighted Obesity (KSSO &gt;=25 / WHO &gt;=30, country-specific) prevalence of 36.9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0.95 (95% CI 0.89 to 1.00)</w:t>
            </w:r>
          </w:p>
        </w:tc>
        <w:tc>
          <w:tcPr>
            <w:tcW w:type="dxa" w:w="1234"/>
          </w:tcPr>
          <w:p>
            <w:r>
              <w:t>0.067</w:t>
            </w:r>
          </w:p>
        </w:tc>
        <w:tc>
          <w:tcPr>
            <w:tcW w:type="dxa" w:w="1234"/>
          </w:tcPr>
          <w:p>
            <w:r>
              <w:t>0.090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eGFR (CKD-EPI 2021), mL/min/1.73m2 (exposure)</w:t>
            </w:r>
          </w:p>
        </w:tc>
        <w:tc>
          <w:tcPr>
            <w:tcW w:type="dxa" w:w="2160"/>
          </w:tcPr>
          <w:p>
            <w:r>
              <w:t>96.2</w:t>
            </w:r>
          </w:p>
        </w:tc>
        <w:tc>
          <w:tcPr>
            <w:tcW w:type="dxa" w:w="2160"/>
          </w:tcPr>
          <w:p>
            <w:r>
              <w:t>96.6</w:t>
            </w:r>
          </w:p>
        </w:tc>
        <w:tc>
          <w:tcPr>
            <w:tcW w:type="dxa" w:w="2160"/>
          </w:tcPr>
          <w:p>
            <w:r>
              <w:t>95.4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48.0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46.1%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78.8%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